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7068CC">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7068CC">
      <w:pPr>
        <w:jc w:val="both"/>
        <w:rPr>
          <w:sz w:val="28"/>
        </w:rPr>
      </w:pPr>
      <w:r>
        <w:rPr>
          <w:sz w:val="28"/>
        </w:rPr>
        <w:tab/>
      </w:r>
    </w:p>
    <w:p w:rsidR="004F4AAB" w:rsidRDefault="00306EAA" w:rsidP="007068CC">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7068CC">
      <w:pPr>
        <w:jc w:val="center"/>
        <w:rPr>
          <w:b/>
          <w:smallCaps/>
          <w:spacing w:val="60"/>
          <w:sz w:val="32"/>
        </w:rPr>
      </w:pPr>
      <w:r>
        <w:rPr>
          <w:sz w:val="22"/>
        </w:rPr>
        <w:t xml:space="preserve">                                       </w:t>
      </w:r>
    </w:p>
    <w:p w:rsidR="004C2993" w:rsidRPr="002F5A07" w:rsidRDefault="004C2993" w:rsidP="007068CC">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7068CC">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7068CC">
      <w:pPr>
        <w:jc w:val="center"/>
        <w:rPr>
          <w:rFonts w:ascii="Arial" w:hAnsi="Arial" w:cs="Arial"/>
          <w:b/>
          <w:sz w:val="48"/>
          <w:szCs w:val="48"/>
        </w:rPr>
      </w:pPr>
    </w:p>
    <w:p w:rsidR="00875E6D" w:rsidRDefault="00875E6D" w:rsidP="007068CC">
      <w:pPr>
        <w:jc w:val="center"/>
        <w:rPr>
          <w:rFonts w:ascii="Arial" w:hAnsi="Arial" w:cs="Arial"/>
          <w:b/>
          <w:sz w:val="48"/>
          <w:szCs w:val="48"/>
        </w:rPr>
      </w:pPr>
      <w:r w:rsidRPr="002F5A07">
        <w:rPr>
          <w:rFonts w:ascii="Arial" w:hAnsi="Arial" w:cs="Arial"/>
          <w:b/>
          <w:sz w:val="48"/>
          <w:szCs w:val="48"/>
        </w:rPr>
        <w:t>SCHEDONE</w:t>
      </w:r>
    </w:p>
    <w:p w:rsidR="00E349BD" w:rsidRDefault="00B37561" w:rsidP="007068CC">
      <w:pPr>
        <w:jc w:val="center"/>
        <w:rPr>
          <w:rFonts w:ascii="Arial" w:hAnsi="Arial" w:cs="Arial"/>
          <w:b/>
          <w:sz w:val="48"/>
          <w:szCs w:val="48"/>
        </w:rPr>
      </w:pPr>
      <w:r>
        <w:rPr>
          <w:rFonts w:ascii="Arial" w:hAnsi="Arial" w:cs="Arial"/>
          <w:b/>
          <w:sz w:val="48"/>
          <w:szCs w:val="48"/>
        </w:rPr>
        <w:t xml:space="preserve">AG </w:t>
      </w:r>
      <w:r w:rsidR="00296B1E">
        <w:rPr>
          <w:rFonts w:ascii="Arial" w:hAnsi="Arial" w:cs="Arial"/>
          <w:b/>
          <w:sz w:val="48"/>
          <w:szCs w:val="48"/>
        </w:rPr>
        <w:t>378</w:t>
      </w:r>
    </w:p>
    <w:p w:rsidR="00B37561" w:rsidRDefault="00B37561" w:rsidP="007068CC">
      <w:pPr>
        <w:jc w:val="center"/>
        <w:rPr>
          <w:rFonts w:ascii="Arial" w:hAnsi="Arial" w:cs="Arial"/>
          <w:b/>
          <w:sz w:val="48"/>
          <w:szCs w:val="48"/>
        </w:rPr>
      </w:pPr>
      <w:r>
        <w:rPr>
          <w:rFonts w:ascii="Arial" w:hAnsi="Arial" w:cs="Arial"/>
          <w:b/>
          <w:sz w:val="48"/>
          <w:szCs w:val="48"/>
        </w:rPr>
        <w:t>(</w:t>
      </w:r>
      <w:r w:rsidR="00296B1E">
        <w:rPr>
          <w:rFonts w:ascii="Arial" w:hAnsi="Arial" w:cs="Arial"/>
          <w:b/>
          <w:sz w:val="48"/>
          <w:szCs w:val="48"/>
        </w:rPr>
        <w:t>I</w:t>
      </w:r>
      <w:r w:rsidR="00296B1E" w:rsidRPr="00296B1E">
        <w:rPr>
          <w:rFonts w:ascii="Arial" w:hAnsi="Arial" w:cs="Arial"/>
          <w:b/>
          <w:sz w:val="48"/>
          <w:szCs w:val="48"/>
        </w:rPr>
        <w:t>nclusione scolastica studenti disabili</w:t>
      </w:r>
      <w:r>
        <w:rPr>
          <w:rFonts w:ascii="Arial" w:hAnsi="Arial" w:cs="Arial"/>
          <w:b/>
          <w:sz w:val="48"/>
          <w:szCs w:val="48"/>
        </w:rPr>
        <w:t>)</w:t>
      </w:r>
    </w:p>
    <w:p w:rsidR="00644CE0" w:rsidRDefault="00644CE0" w:rsidP="007068CC">
      <w:pPr>
        <w:ind w:left="360" w:right="432"/>
        <w:jc w:val="center"/>
        <w:rPr>
          <w:sz w:val="28"/>
        </w:rPr>
      </w:pPr>
    </w:p>
    <w:tbl>
      <w:tblPr>
        <w:tblStyle w:val="Grigliatabella"/>
        <w:tblW w:w="0" w:type="auto"/>
        <w:tblInd w:w="-459" w:type="dxa"/>
        <w:tblLayout w:type="fixed"/>
        <w:tblLook w:val="01E0"/>
      </w:tblPr>
      <w:tblGrid>
        <w:gridCol w:w="2552"/>
        <w:gridCol w:w="1417"/>
        <w:gridCol w:w="2127"/>
        <w:gridCol w:w="708"/>
        <w:gridCol w:w="3226"/>
      </w:tblGrid>
      <w:tr w:rsidR="00972C44" w:rsidTr="003328D4">
        <w:tc>
          <w:tcPr>
            <w:tcW w:w="10030" w:type="dxa"/>
            <w:gridSpan w:val="5"/>
            <w:tcBorders>
              <w:top w:val="nil"/>
              <w:left w:val="nil"/>
              <w:right w:val="nil"/>
            </w:tcBorders>
          </w:tcPr>
          <w:p w:rsidR="00972C44" w:rsidRDefault="00972C44" w:rsidP="007068CC">
            <w:pPr>
              <w:ind w:right="432"/>
              <w:jc w:val="center"/>
              <w:rPr>
                <w:sz w:val="28"/>
              </w:rPr>
            </w:pPr>
            <w:r w:rsidRPr="00F94EE1">
              <w:rPr>
                <w:rFonts w:ascii="Arial" w:hAnsi="Arial" w:cs="Arial"/>
                <w:b/>
                <w:i/>
                <w:sz w:val="22"/>
                <w:szCs w:val="22"/>
              </w:rPr>
              <w:t>Sede consultiva atti del Governo</w:t>
            </w:r>
          </w:p>
        </w:tc>
      </w:tr>
      <w:tr w:rsidR="00972C44" w:rsidTr="003E4F7D">
        <w:tc>
          <w:tcPr>
            <w:tcW w:w="2552" w:type="dxa"/>
          </w:tcPr>
          <w:p w:rsidR="00972C44" w:rsidRPr="00B24B6E" w:rsidRDefault="00972C44" w:rsidP="007068CC">
            <w:pPr>
              <w:ind w:right="432"/>
              <w:jc w:val="both"/>
              <w:rPr>
                <w:i/>
                <w:sz w:val="28"/>
              </w:rPr>
            </w:pPr>
            <w:r w:rsidRPr="00E70D43">
              <w:rPr>
                <w:rFonts w:ascii="Arial" w:hAnsi="Arial" w:cs="Arial"/>
                <w:b/>
                <w:i/>
                <w:sz w:val="22"/>
                <w:szCs w:val="22"/>
              </w:rPr>
              <w:t>Deferimento</w:t>
            </w:r>
          </w:p>
        </w:tc>
        <w:tc>
          <w:tcPr>
            <w:tcW w:w="1417" w:type="dxa"/>
          </w:tcPr>
          <w:p w:rsidR="00972C44" w:rsidRPr="00AA7D25" w:rsidRDefault="00972C44" w:rsidP="007068CC">
            <w:pPr>
              <w:ind w:right="-108"/>
              <w:jc w:val="both"/>
              <w:rPr>
                <w:szCs w:val="24"/>
              </w:rPr>
            </w:pPr>
          </w:p>
        </w:tc>
        <w:tc>
          <w:tcPr>
            <w:tcW w:w="2127" w:type="dxa"/>
          </w:tcPr>
          <w:p w:rsidR="00972C44" w:rsidRDefault="00972C44" w:rsidP="00296B1E">
            <w:pPr>
              <w:ind w:right="432"/>
              <w:jc w:val="both"/>
              <w:rPr>
                <w:sz w:val="28"/>
              </w:rPr>
            </w:pPr>
            <w:r w:rsidRPr="00E70D43">
              <w:rPr>
                <w:rFonts w:ascii="Arial" w:hAnsi="Arial" w:cs="Arial"/>
                <w:b/>
                <w:i/>
                <w:sz w:val="22"/>
                <w:szCs w:val="22"/>
              </w:rPr>
              <w:t>R</w:t>
            </w:r>
            <w:r w:rsidR="007F4031">
              <w:rPr>
                <w:rFonts w:ascii="Arial" w:hAnsi="Arial" w:cs="Arial"/>
                <w:b/>
                <w:i/>
                <w:sz w:val="22"/>
                <w:szCs w:val="22"/>
              </w:rPr>
              <w:t>ela</w:t>
            </w:r>
            <w:r w:rsidR="00296B1E">
              <w:rPr>
                <w:rFonts w:ascii="Arial" w:hAnsi="Arial" w:cs="Arial"/>
                <w:b/>
                <w:i/>
                <w:sz w:val="22"/>
                <w:szCs w:val="22"/>
              </w:rPr>
              <w:t>trice</w:t>
            </w:r>
          </w:p>
        </w:tc>
        <w:tc>
          <w:tcPr>
            <w:tcW w:w="3934" w:type="dxa"/>
            <w:gridSpan w:val="2"/>
          </w:tcPr>
          <w:p w:rsidR="00972C44" w:rsidRPr="00757783" w:rsidRDefault="00296B1E" w:rsidP="00296B1E">
            <w:pPr>
              <w:ind w:right="-1"/>
              <w:jc w:val="both"/>
              <w:rPr>
                <w:szCs w:val="24"/>
              </w:rPr>
            </w:pPr>
            <w:r>
              <w:rPr>
                <w:szCs w:val="24"/>
              </w:rPr>
              <w:t>Sen. Elena Ferrara</w:t>
            </w:r>
            <w:r w:rsidR="003E4F7D">
              <w:rPr>
                <w:szCs w:val="24"/>
              </w:rPr>
              <w:t xml:space="preserve"> </w:t>
            </w:r>
          </w:p>
        </w:tc>
      </w:tr>
      <w:tr w:rsidR="00E70D43" w:rsidTr="003E4F7D">
        <w:tc>
          <w:tcPr>
            <w:tcW w:w="2552" w:type="dxa"/>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ordinario</w:t>
            </w:r>
          </w:p>
        </w:tc>
        <w:tc>
          <w:tcPr>
            <w:tcW w:w="1417" w:type="dxa"/>
          </w:tcPr>
          <w:p w:rsidR="00E70D43" w:rsidRPr="00AA7D25" w:rsidRDefault="003E4F7D" w:rsidP="007068CC">
            <w:pPr>
              <w:ind w:right="-108"/>
              <w:jc w:val="both"/>
              <w:rPr>
                <w:szCs w:val="24"/>
              </w:rPr>
            </w:pPr>
            <w:r>
              <w:rPr>
                <w:szCs w:val="24"/>
              </w:rPr>
              <w:t>17.03.2017</w:t>
            </w:r>
          </w:p>
        </w:tc>
        <w:tc>
          <w:tcPr>
            <w:tcW w:w="2127" w:type="dxa"/>
            <w:shd w:val="clear" w:color="auto" w:fill="auto"/>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prorogato</w:t>
            </w:r>
          </w:p>
        </w:tc>
        <w:tc>
          <w:tcPr>
            <w:tcW w:w="3934" w:type="dxa"/>
            <w:gridSpan w:val="2"/>
            <w:shd w:val="clear" w:color="auto" w:fill="auto"/>
          </w:tcPr>
          <w:p w:rsidR="00E70D43" w:rsidRPr="00757783" w:rsidRDefault="00E70D43" w:rsidP="007068CC">
            <w:pPr>
              <w:ind w:right="432"/>
              <w:jc w:val="both"/>
              <w:rPr>
                <w:szCs w:val="24"/>
              </w:rPr>
            </w:pPr>
          </w:p>
        </w:tc>
      </w:tr>
      <w:tr w:rsidR="00296B1E" w:rsidTr="003E4F7D">
        <w:trPr>
          <w:trHeight w:val="227"/>
        </w:trPr>
        <w:tc>
          <w:tcPr>
            <w:tcW w:w="2552" w:type="dxa"/>
            <w:vMerge w:val="restart"/>
          </w:tcPr>
          <w:p w:rsidR="00296B1E" w:rsidRPr="00E70D43" w:rsidRDefault="00296B1E" w:rsidP="007068CC">
            <w:pPr>
              <w:ind w:right="432"/>
              <w:jc w:val="both"/>
              <w:rPr>
                <w:rFonts w:ascii="Arial" w:hAnsi="Arial" w:cs="Arial"/>
                <w:b/>
                <w:i/>
                <w:sz w:val="22"/>
                <w:szCs w:val="22"/>
              </w:rPr>
            </w:pPr>
            <w:r w:rsidRPr="00E70D43">
              <w:rPr>
                <w:rFonts w:ascii="Arial" w:hAnsi="Arial" w:cs="Arial"/>
                <w:b/>
                <w:i/>
                <w:sz w:val="22"/>
                <w:szCs w:val="22"/>
              </w:rPr>
              <w:t>Esito</w:t>
            </w:r>
          </w:p>
        </w:tc>
        <w:tc>
          <w:tcPr>
            <w:tcW w:w="1417" w:type="dxa"/>
            <w:vMerge w:val="restart"/>
          </w:tcPr>
          <w:p w:rsidR="00296B1E" w:rsidRPr="00757783" w:rsidRDefault="00296B1E" w:rsidP="007068CC">
            <w:pPr>
              <w:ind w:right="432"/>
              <w:jc w:val="both"/>
              <w:rPr>
                <w:szCs w:val="24"/>
              </w:rPr>
            </w:pPr>
          </w:p>
        </w:tc>
        <w:tc>
          <w:tcPr>
            <w:tcW w:w="2127" w:type="dxa"/>
            <w:vMerge w:val="restart"/>
            <w:shd w:val="clear" w:color="auto" w:fill="auto"/>
          </w:tcPr>
          <w:p w:rsidR="00296B1E" w:rsidRPr="008E68C1" w:rsidRDefault="00296B1E" w:rsidP="007068CC">
            <w:pPr>
              <w:ind w:right="-108"/>
              <w:jc w:val="both"/>
              <w:rPr>
                <w:rFonts w:ascii="Arial" w:hAnsi="Arial" w:cs="Arial"/>
                <w:b/>
                <w:i/>
                <w:sz w:val="22"/>
                <w:szCs w:val="22"/>
              </w:rPr>
            </w:pPr>
            <w:r>
              <w:rPr>
                <w:rFonts w:ascii="Arial" w:hAnsi="Arial" w:cs="Arial"/>
                <w:b/>
                <w:i/>
                <w:sz w:val="22"/>
                <w:szCs w:val="22"/>
              </w:rPr>
              <w:t>Osservazioni *</w:t>
            </w:r>
            <w:r w:rsidRPr="008E68C1">
              <w:rPr>
                <w:rFonts w:ascii="Arial" w:hAnsi="Arial" w:cs="Arial"/>
                <w:b/>
                <w:i/>
                <w:sz w:val="22"/>
                <w:szCs w:val="22"/>
              </w:rPr>
              <w:t xml:space="preserve"> </w:t>
            </w:r>
          </w:p>
        </w:tc>
        <w:tc>
          <w:tcPr>
            <w:tcW w:w="708" w:type="dxa"/>
            <w:shd w:val="clear" w:color="auto" w:fill="auto"/>
          </w:tcPr>
          <w:p w:rsidR="00296B1E" w:rsidRPr="00296B1E" w:rsidRDefault="00296B1E" w:rsidP="007068CC">
            <w:pPr>
              <w:ind w:left="-108" w:right="-143"/>
              <w:jc w:val="center"/>
              <w:rPr>
                <w:szCs w:val="24"/>
              </w:rPr>
            </w:pPr>
            <w:r w:rsidRPr="00296B1E">
              <w:rPr>
                <w:szCs w:val="24"/>
              </w:rPr>
              <w:t>1</w:t>
            </w:r>
            <w:r w:rsidRPr="00296B1E">
              <w:rPr>
                <w:szCs w:val="24"/>
                <w:vertAlign w:val="superscript"/>
              </w:rPr>
              <w:t>a</w:t>
            </w:r>
          </w:p>
        </w:tc>
        <w:tc>
          <w:tcPr>
            <w:tcW w:w="3226" w:type="dxa"/>
            <w:shd w:val="clear" w:color="auto" w:fill="auto"/>
          </w:tcPr>
          <w:p w:rsidR="00296B1E" w:rsidRPr="008E68C1" w:rsidRDefault="00296B1E" w:rsidP="007068CC">
            <w:pPr>
              <w:ind w:right="-143"/>
              <w:jc w:val="both"/>
              <w:rPr>
                <w:b/>
                <w:szCs w:val="24"/>
              </w:rPr>
            </w:pPr>
          </w:p>
        </w:tc>
      </w:tr>
      <w:tr w:rsidR="00296B1E" w:rsidTr="003E4F7D">
        <w:trPr>
          <w:trHeight w:val="231"/>
        </w:trPr>
        <w:tc>
          <w:tcPr>
            <w:tcW w:w="2552" w:type="dxa"/>
            <w:vMerge/>
          </w:tcPr>
          <w:p w:rsidR="00296B1E" w:rsidRPr="00E70D43" w:rsidRDefault="00296B1E" w:rsidP="007068CC">
            <w:pPr>
              <w:ind w:right="432"/>
              <w:jc w:val="both"/>
              <w:rPr>
                <w:rFonts w:ascii="Arial" w:hAnsi="Arial" w:cs="Arial"/>
                <w:b/>
                <w:i/>
                <w:sz w:val="22"/>
                <w:szCs w:val="22"/>
              </w:rPr>
            </w:pPr>
          </w:p>
        </w:tc>
        <w:tc>
          <w:tcPr>
            <w:tcW w:w="1417" w:type="dxa"/>
            <w:vMerge/>
          </w:tcPr>
          <w:p w:rsidR="00296B1E" w:rsidRPr="00757783" w:rsidRDefault="00296B1E" w:rsidP="007068CC">
            <w:pPr>
              <w:ind w:right="432"/>
              <w:jc w:val="both"/>
              <w:rPr>
                <w:szCs w:val="24"/>
              </w:rPr>
            </w:pPr>
          </w:p>
        </w:tc>
        <w:tc>
          <w:tcPr>
            <w:tcW w:w="2127" w:type="dxa"/>
            <w:vMerge/>
            <w:shd w:val="clear" w:color="auto" w:fill="auto"/>
          </w:tcPr>
          <w:p w:rsidR="00296B1E" w:rsidRPr="00E70D43" w:rsidRDefault="00296B1E" w:rsidP="007068CC">
            <w:pPr>
              <w:ind w:right="432"/>
              <w:jc w:val="both"/>
              <w:rPr>
                <w:rFonts w:ascii="Arial" w:hAnsi="Arial" w:cs="Arial"/>
                <w:b/>
                <w:i/>
                <w:sz w:val="22"/>
                <w:szCs w:val="22"/>
              </w:rPr>
            </w:pPr>
          </w:p>
        </w:tc>
        <w:tc>
          <w:tcPr>
            <w:tcW w:w="708" w:type="dxa"/>
            <w:shd w:val="clear" w:color="auto" w:fill="auto"/>
          </w:tcPr>
          <w:p w:rsidR="00296B1E" w:rsidRPr="00296B1E" w:rsidRDefault="00296B1E" w:rsidP="007068CC">
            <w:pPr>
              <w:ind w:left="-108" w:right="-143"/>
              <w:jc w:val="center"/>
              <w:rPr>
                <w:szCs w:val="24"/>
              </w:rPr>
            </w:pPr>
            <w:r w:rsidRPr="00296B1E">
              <w:rPr>
                <w:szCs w:val="24"/>
              </w:rPr>
              <w:t>11</w:t>
            </w:r>
            <w:r w:rsidRPr="00296B1E">
              <w:rPr>
                <w:szCs w:val="24"/>
                <w:vertAlign w:val="superscript"/>
              </w:rPr>
              <w:t>a</w:t>
            </w:r>
          </w:p>
        </w:tc>
        <w:tc>
          <w:tcPr>
            <w:tcW w:w="3226" w:type="dxa"/>
            <w:shd w:val="clear" w:color="auto" w:fill="auto"/>
          </w:tcPr>
          <w:p w:rsidR="00296B1E" w:rsidRDefault="00296B1E" w:rsidP="007068CC">
            <w:pPr>
              <w:ind w:right="432"/>
              <w:jc w:val="both"/>
              <w:rPr>
                <w:b/>
                <w:szCs w:val="24"/>
              </w:rPr>
            </w:pPr>
          </w:p>
        </w:tc>
      </w:tr>
      <w:tr w:rsidR="00296B1E" w:rsidTr="003E4F7D">
        <w:trPr>
          <w:trHeight w:val="231"/>
        </w:trPr>
        <w:tc>
          <w:tcPr>
            <w:tcW w:w="2552" w:type="dxa"/>
            <w:vMerge/>
          </w:tcPr>
          <w:p w:rsidR="00296B1E" w:rsidRPr="00E70D43" w:rsidRDefault="00296B1E" w:rsidP="007068CC">
            <w:pPr>
              <w:ind w:right="432"/>
              <w:jc w:val="both"/>
              <w:rPr>
                <w:rFonts w:ascii="Arial" w:hAnsi="Arial" w:cs="Arial"/>
                <w:b/>
                <w:i/>
                <w:sz w:val="22"/>
                <w:szCs w:val="22"/>
              </w:rPr>
            </w:pPr>
          </w:p>
        </w:tc>
        <w:tc>
          <w:tcPr>
            <w:tcW w:w="1417" w:type="dxa"/>
            <w:vMerge/>
          </w:tcPr>
          <w:p w:rsidR="00296B1E" w:rsidRPr="00757783" w:rsidRDefault="00296B1E" w:rsidP="007068CC">
            <w:pPr>
              <w:ind w:right="432"/>
              <w:jc w:val="both"/>
              <w:rPr>
                <w:szCs w:val="24"/>
              </w:rPr>
            </w:pPr>
          </w:p>
        </w:tc>
        <w:tc>
          <w:tcPr>
            <w:tcW w:w="2127" w:type="dxa"/>
            <w:vMerge/>
            <w:shd w:val="clear" w:color="auto" w:fill="auto"/>
          </w:tcPr>
          <w:p w:rsidR="00296B1E" w:rsidRPr="00E70D43" w:rsidRDefault="00296B1E" w:rsidP="007068CC">
            <w:pPr>
              <w:ind w:right="432"/>
              <w:jc w:val="both"/>
              <w:rPr>
                <w:rFonts w:ascii="Arial" w:hAnsi="Arial" w:cs="Arial"/>
                <w:b/>
                <w:i/>
                <w:sz w:val="22"/>
                <w:szCs w:val="22"/>
              </w:rPr>
            </w:pPr>
          </w:p>
        </w:tc>
        <w:tc>
          <w:tcPr>
            <w:tcW w:w="708" w:type="dxa"/>
            <w:shd w:val="clear" w:color="auto" w:fill="auto"/>
          </w:tcPr>
          <w:p w:rsidR="00296B1E" w:rsidRPr="00296B1E" w:rsidRDefault="00296B1E" w:rsidP="007068CC">
            <w:pPr>
              <w:ind w:left="-108" w:right="-143"/>
              <w:jc w:val="center"/>
              <w:rPr>
                <w:szCs w:val="24"/>
              </w:rPr>
            </w:pPr>
            <w:r w:rsidRPr="00296B1E">
              <w:rPr>
                <w:szCs w:val="24"/>
              </w:rPr>
              <w:t>12</w:t>
            </w:r>
            <w:r w:rsidRPr="00296B1E">
              <w:rPr>
                <w:szCs w:val="24"/>
                <w:vertAlign w:val="superscript"/>
              </w:rPr>
              <w:t>a</w:t>
            </w:r>
          </w:p>
        </w:tc>
        <w:tc>
          <w:tcPr>
            <w:tcW w:w="3226" w:type="dxa"/>
            <w:shd w:val="clear" w:color="auto" w:fill="auto"/>
          </w:tcPr>
          <w:p w:rsidR="00296B1E" w:rsidRDefault="00296B1E" w:rsidP="007068CC">
            <w:pPr>
              <w:ind w:right="432"/>
              <w:jc w:val="both"/>
              <w:rPr>
                <w:b/>
                <w:szCs w:val="24"/>
              </w:rPr>
            </w:pPr>
          </w:p>
        </w:tc>
      </w:tr>
      <w:tr w:rsidR="003328D4" w:rsidTr="003328D4">
        <w:tc>
          <w:tcPr>
            <w:tcW w:w="10030" w:type="dxa"/>
            <w:gridSpan w:val="5"/>
          </w:tcPr>
          <w:p w:rsidR="003328D4" w:rsidRPr="00B307F8" w:rsidRDefault="003328D4" w:rsidP="007068CC">
            <w:pPr>
              <w:ind w:right="432"/>
              <w:jc w:val="both"/>
              <w:rPr>
                <w:i/>
                <w:sz w:val="28"/>
              </w:rPr>
            </w:pPr>
            <w:r>
              <w:rPr>
                <w:rFonts w:ascii="Arial" w:hAnsi="Arial" w:cs="Arial"/>
                <w:b/>
                <w:i/>
                <w:sz w:val="22"/>
                <w:szCs w:val="22"/>
              </w:rPr>
              <w:t>G.U.</w:t>
            </w:r>
          </w:p>
        </w:tc>
      </w:tr>
    </w:tbl>
    <w:p w:rsidR="00E02AE7" w:rsidRDefault="00E02AE7" w:rsidP="007068CC">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7068CC">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ind w:left="318" w:right="850" w:hanging="318"/>
              <w:jc w:val="both"/>
              <w:rPr>
                <w:szCs w:val="24"/>
              </w:rPr>
            </w:pPr>
          </w:p>
        </w:tc>
      </w:tr>
    </w:tbl>
    <w:p w:rsidR="00B55573" w:rsidRDefault="00B55573" w:rsidP="007068CC">
      <w:pPr>
        <w:ind w:right="432"/>
        <w:jc w:val="both"/>
        <w:rPr>
          <w:b/>
          <w:sz w:val="28"/>
        </w:rPr>
      </w:pPr>
    </w:p>
    <w:p w:rsidR="00B64C3A" w:rsidRDefault="00B64C3A" w:rsidP="007068CC">
      <w:pPr>
        <w:ind w:left="-567" w:right="-1"/>
        <w:jc w:val="both"/>
        <w:rPr>
          <w:b/>
          <w:sz w:val="28"/>
        </w:rPr>
      </w:pPr>
    </w:p>
    <w:p w:rsidR="004C2993" w:rsidRPr="00F94EE1" w:rsidRDefault="00235730" w:rsidP="007068CC">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7068CC">
      <w:pPr>
        <w:ind w:left="-567" w:right="-1"/>
        <w:jc w:val="both"/>
        <w:rPr>
          <w:b/>
          <w:i/>
          <w:szCs w:val="24"/>
        </w:rPr>
      </w:pPr>
    </w:p>
    <w:p w:rsidR="001F5AB8" w:rsidRDefault="00433406">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650" w:history="1">
        <w:r w:rsidR="001F5AB8" w:rsidRPr="009607AC">
          <w:rPr>
            <w:rStyle w:val="Collegamentoipertestuale"/>
            <w:noProof/>
          </w:rPr>
          <w:t>24 GENNAIO 2017 (Relazione)</w:t>
        </w:r>
        <w:r w:rsidR="001F5AB8">
          <w:rPr>
            <w:noProof/>
            <w:webHidden/>
          </w:rPr>
          <w:tab/>
        </w:r>
        <w:r w:rsidR="001F5AB8">
          <w:rPr>
            <w:noProof/>
            <w:webHidden/>
          </w:rPr>
          <w:fldChar w:fldCharType="begin"/>
        </w:r>
        <w:r w:rsidR="001F5AB8">
          <w:rPr>
            <w:noProof/>
            <w:webHidden/>
          </w:rPr>
          <w:instrText xml:space="preserve"> PAGEREF _Toc473791650 \h </w:instrText>
        </w:r>
        <w:r w:rsidR="001F5AB8">
          <w:rPr>
            <w:noProof/>
            <w:webHidden/>
          </w:rPr>
        </w:r>
        <w:r w:rsidR="001F5AB8">
          <w:rPr>
            <w:noProof/>
            <w:webHidden/>
          </w:rPr>
          <w:fldChar w:fldCharType="separate"/>
        </w:r>
        <w:r w:rsidR="001F5AB8">
          <w:rPr>
            <w:noProof/>
            <w:webHidden/>
          </w:rPr>
          <w:t>2</w:t>
        </w:r>
        <w:r w:rsidR="001F5AB8">
          <w:rPr>
            <w:noProof/>
            <w:webHidden/>
          </w:rPr>
          <w:fldChar w:fldCharType="end"/>
        </w:r>
      </w:hyperlink>
    </w:p>
    <w:p w:rsidR="001F5AB8" w:rsidRDefault="001F5AB8">
      <w:pPr>
        <w:pStyle w:val="Sommario1"/>
        <w:rPr>
          <w:rFonts w:asciiTheme="minorHAnsi" w:eastAsiaTheme="minorEastAsia" w:hAnsiTheme="minorHAnsi" w:cstheme="minorBidi"/>
          <w:noProof/>
          <w:sz w:val="22"/>
          <w:szCs w:val="22"/>
        </w:rPr>
      </w:pPr>
      <w:hyperlink w:anchor="_Toc473791651" w:history="1">
        <w:r w:rsidRPr="009607AC">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_Toc473791651 \h </w:instrText>
        </w:r>
        <w:r>
          <w:rPr>
            <w:noProof/>
            <w:webHidden/>
          </w:rPr>
        </w:r>
        <w:r>
          <w:rPr>
            <w:noProof/>
            <w:webHidden/>
          </w:rPr>
          <w:fldChar w:fldCharType="separate"/>
        </w:r>
        <w:r>
          <w:rPr>
            <w:noProof/>
            <w:webHidden/>
          </w:rPr>
          <w:t>4</w:t>
        </w:r>
        <w:r>
          <w:rPr>
            <w:noProof/>
            <w:webHidden/>
          </w:rPr>
          <w:fldChar w:fldCharType="end"/>
        </w:r>
      </w:hyperlink>
    </w:p>
    <w:p w:rsidR="001F5AB8" w:rsidRDefault="001F5AB8">
      <w:pPr>
        <w:pStyle w:val="Sommario1"/>
        <w:rPr>
          <w:rFonts w:asciiTheme="minorHAnsi" w:eastAsiaTheme="minorEastAsia" w:hAnsiTheme="minorHAnsi" w:cstheme="minorBidi"/>
          <w:noProof/>
          <w:sz w:val="22"/>
          <w:szCs w:val="22"/>
        </w:rPr>
      </w:pPr>
      <w:hyperlink w:anchor="_Toc473791652" w:history="1">
        <w:r w:rsidRPr="009607AC">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_Toc473791652 \h </w:instrText>
        </w:r>
        <w:r>
          <w:rPr>
            <w:noProof/>
            <w:webHidden/>
          </w:rPr>
        </w:r>
        <w:r>
          <w:rPr>
            <w:noProof/>
            <w:webHidden/>
          </w:rPr>
          <w:fldChar w:fldCharType="separate"/>
        </w:r>
        <w:r>
          <w:rPr>
            <w:noProof/>
            <w:webHidden/>
          </w:rPr>
          <w:t>4</w:t>
        </w:r>
        <w:r>
          <w:rPr>
            <w:noProof/>
            <w:webHidden/>
          </w:rPr>
          <w:fldChar w:fldCharType="end"/>
        </w:r>
      </w:hyperlink>
    </w:p>
    <w:p w:rsidR="004C2993" w:rsidRPr="00472EB5" w:rsidRDefault="00433406" w:rsidP="007068CC">
      <w:pPr>
        <w:ind w:left="-567" w:right="-1"/>
        <w:jc w:val="both"/>
        <w:rPr>
          <w:i/>
        </w:rPr>
      </w:pPr>
      <w:r w:rsidRPr="000A61A2">
        <w:rPr>
          <w:i/>
          <w:szCs w:val="24"/>
        </w:rPr>
        <w:fldChar w:fldCharType="end"/>
      </w:r>
    </w:p>
    <w:p w:rsidR="004C2993" w:rsidRPr="00472EB5" w:rsidRDefault="004C2993" w:rsidP="007068CC">
      <w:pPr>
        <w:ind w:right="432"/>
        <w:jc w:val="both"/>
        <w:rPr>
          <w:i/>
        </w:rPr>
      </w:pPr>
    </w:p>
    <w:p w:rsidR="00E019B8" w:rsidRDefault="00E019B8" w:rsidP="007068CC">
      <w:pPr>
        <w:jc w:val="both"/>
      </w:pPr>
    </w:p>
    <w:p w:rsidR="00296B1E" w:rsidRDefault="00E672CC" w:rsidP="00296B1E">
      <w:pPr>
        <w:pStyle w:val="Titolo1"/>
      </w:pPr>
      <w:r>
        <w:br w:type="page"/>
      </w:r>
      <w:bookmarkStart w:id="0" w:name="_Toc473791650"/>
      <w:r w:rsidR="00296B1E">
        <w:lastRenderedPageBreak/>
        <w:t>24 GENNAIO 2017 (Relazione)</w:t>
      </w:r>
      <w:bookmarkEnd w:id="0"/>
    </w:p>
    <w:p w:rsidR="00296B1E" w:rsidRDefault="00296B1E" w:rsidP="00296B1E">
      <w:pPr>
        <w:autoSpaceDE w:val="0"/>
        <w:autoSpaceDN w:val="0"/>
        <w:adjustRightInd w:val="0"/>
        <w:jc w:val="center"/>
        <w:rPr>
          <w:color w:val="000000"/>
          <w:szCs w:val="24"/>
        </w:rPr>
      </w:pPr>
      <w:r>
        <w:rPr>
          <w:b/>
          <w:bCs/>
          <w:color w:val="000000"/>
          <w:szCs w:val="24"/>
        </w:rPr>
        <w:t>327ª Seduta</w:t>
      </w:r>
      <w:r>
        <w:rPr>
          <w:color w:val="000000"/>
          <w:szCs w:val="24"/>
        </w:rPr>
        <w:t xml:space="preserve"> </w:t>
      </w:r>
    </w:p>
    <w:p w:rsidR="00296B1E" w:rsidRDefault="00296B1E" w:rsidP="00296B1E">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296B1E" w:rsidRDefault="00296B1E" w:rsidP="00296B1E">
      <w:pPr>
        <w:autoSpaceDE w:val="0"/>
        <w:autoSpaceDN w:val="0"/>
        <w:adjustRightInd w:val="0"/>
        <w:jc w:val="center"/>
        <w:rPr>
          <w:color w:val="000000"/>
          <w:szCs w:val="24"/>
        </w:rPr>
      </w:pPr>
      <w:r>
        <w:rPr>
          <w:color w:val="000000"/>
          <w:szCs w:val="24"/>
        </w:rPr>
        <w:t xml:space="preserve">MARCUCCI  </w:t>
      </w:r>
    </w:p>
    <w:p w:rsidR="00296B1E" w:rsidRDefault="00296B1E" w:rsidP="00296B1E">
      <w:pPr>
        <w:autoSpaceDE w:val="0"/>
        <w:autoSpaceDN w:val="0"/>
        <w:adjustRightInd w:val="0"/>
        <w:jc w:val="center"/>
        <w:rPr>
          <w:color w:val="000000"/>
          <w:szCs w:val="24"/>
        </w:rPr>
      </w:pPr>
      <w:r>
        <w:rPr>
          <w:color w:val="000000"/>
          <w:szCs w:val="24"/>
        </w:rPr>
        <w:t xml:space="preserve"> </w:t>
      </w:r>
    </w:p>
    <w:p w:rsidR="00296B1E" w:rsidRDefault="00296B1E" w:rsidP="00296B1E">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296B1E" w:rsidRDefault="00296B1E" w:rsidP="00296B1E">
      <w:pPr>
        <w:autoSpaceDE w:val="0"/>
        <w:autoSpaceDN w:val="0"/>
        <w:adjustRightInd w:val="0"/>
        <w:jc w:val="both"/>
        <w:rPr>
          <w:color w:val="000000"/>
          <w:szCs w:val="24"/>
        </w:rPr>
      </w:pPr>
    </w:p>
    <w:p w:rsidR="00296B1E" w:rsidRDefault="00296B1E" w:rsidP="00296B1E">
      <w:pPr>
        <w:autoSpaceDE w:val="0"/>
        <w:autoSpaceDN w:val="0"/>
        <w:adjustRightInd w:val="0"/>
        <w:jc w:val="both"/>
        <w:rPr>
          <w:color w:val="000000"/>
          <w:szCs w:val="24"/>
        </w:rPr>
      </w:pPr>
      <w:r>
        <w:rPr>
          <w:i/>
          <w:iCs/>
          <w:color w:val="000000"/>
          <w:szCs w:val="24"/>
        </w:rPr>
        <w:t>IN SEDE CONSULTIVA SU ATTI DEL GOVERNO</w:t>
      </w:r>
    </w:p>
    <w:p w:rsidR="00296B1E" w:rsidRDefault="00296B1E" w:rsidP="00296B1E">
      <w:pPr>
        <w:autoSpaceDE w:val="0"/>
        <w:autoSpaceDN w:val="0"/>
        <w:adjustRightInd w:val="0"/>
        <w:jc w:val="both"/>
        <w:rPr>
          <w:color w:val="000000"/>
          <w:szCs w:val="24"/>
        </w:rPr>
      </w:pPr>
      <w:r>
        <w:rPr>
          <w:b/>
          <w:bCs/>
          <w:color w:val="000000"/>
          <w:szCs w:val="24"/>
        </w:rPr>
        <w:t>Schema di decreto legislativo recante norme per la promozione dell'inclusione scolastica degli studenti con disabilità</w:t>
      </w:r>
      <w:r>
        <w:rPr>
          <w:color w:val="000000"/>
          <w:szCs w:val="24"/>
        </w:rPr>
        <w:t xml:space="preserve"> </w:t>
      </w:r>
      <w:r>
        <w:rPr>
          <w:b/>
          <w:bCs/>
          <w:color w:val="000000"/>
          <w:szCs w:val="24"/>
        </w:rPr>
        <w:t>(n. 378)</w:t>
      </w:r>
      <w:r>
        <w:rPr>
          <w:color w:val="000000"/>
          <w:szCs w:val="24"/>
        </w:rPr>
        <w:t xml:space="preserve">  </w:t>
      </w:r>
    </w:p>
    <w:p w:rsidR="00296B1E" w:rsidRDefault="00296B1E" w:rsidP="00296B1E">
      <w:pPr>
        <w:autoSpaceDE w:val="0"/>
        <w:autoSpaceDN w:val="0"/>
        <w:adjustRightInd w:val="0"/>
        <w:jc w:val="both"/>
        <w:rPr>
          <w:color w:val="000000"/>
          <w:szCs w:val="24"/>
        </w:rPr>
      </w:pPr>
      <w:r>
        <w:rPr>
          <w:color w:val="000000"/>
          <w:szCs w:val="24"/>
        </w:rPr>
        <w:t xml:space="preserve">(Parere al Ministro per i rapporti con il Parlamento, ai sensi dell'articolo 1, commi 180, 181, lettera </w:t>
      </w:r>
      <w:r>
        <w:rPr>
          <w:i/>
          <w:iCs/>
          <w:color w:val="000000"/>
          <w:szCs w:val="24"/>
        </w:rPr>
        <w:t>c</w:t>
      </w:r>
      <w:r>
        <w:rPr>
          <w:color w:val="000000"/>
          <w:szCs w:val="24"/>
        </w:rPr>
        <w:t xml:space="preserve">), e 182, della legge 13 luglio 2015, n. 107. Esame e rinvio) </w:t>
      </w:r>
    </w:p>
    <w:p w:rsidR="00296B1E" w:rsidRDefault="00296B1E" w:rsidP="00296B1E">
      <w:pPr>
        <w:autoSpaceDE w:val="0"/>
        <w:autoSpaceDN w:val="0"/>
        <w:adjustRightInd w:val="0"/>
        <w:ind w:firstLine="708"/>
        <w:jc w:val="both"/>
        <w:rPr>
          <w:color w:val="000000"/>
          <w:szCs w:val="24"/>
        </w:rPr>
      </w:pPr>
      <w:r>
        <w:rPr>
          <w:color w:val="000000"/>
          <w:szCs w:val="24"/>
        </w:rPr>
        <w:t xml:space="preserve"> </w:t>
      </w:r>
    </w:p>
    <w:p w:rsidR="00296B1E" w:rsidRDefault="00296B1E" w:rsidP="00296B1E">
      <w:pPr>
        <w:autoSpaceDE w:val="0"/>
        <w:autoSpaceDN w:val="0"/>
        <w:adjustRightInd w:val="0"/>
        <w:ind w:firstLine="708"/>
        <w:jc w:val="both"/>
        <w:rPr>
          <w:color w:val="000000"/>
          <w:szCs w:val="24"/>
        </w:rPr>
      </w:pPr>
      <w:r>
        <w:rPr>
          <w:color w:val="000000"/>
          <w:szCs w:val="24"/>
        </w:rPr>
        <w:t>Il PRESIDENTE fa presente che anche l'atto in titolo è assegnato con riserva, in quanto manca il parere della Conferenza Unificata, che il Governo si è riservato di trasmettere. Segnala altresì che in questo caso è prevista l'espressione di osservazioni da parte delle Commissioni 1</w:t>
      </w:r>
      <w:r>
        <w:rPr>
          <w:color w:val="000000"/>
          <w:szCs w:val="24"/>
          <w:vertAlign w:val="superscript"/>
        </w:rPr>
        <w:t>a</w:t>
      </w:r>
      <w:r>
        <w:rPr>
          <w:color w:val="000000"/>
          <w:szCs w:val="24"/>
        </w:rPr>
        <w:t>, 11</w:t>
      </w:r>
      <w:r>
        <w:rPr>
          <w:color w:val="000000"/>
          <w:szCs w:val="24"/>
          <w:vertAlign w:val="superscript"/>
        </w:rPr>
        <w:t>a</w:t>
      </w:r>
      <w:r>
        <w:rPr>
          <w:color w:val="000000"/>
          <w:szCs w:val="24"/>
        </w:rPr>
        <w:t xml:space="preserve"> e 12</w:t>
      </w:r>
      <w:r>
        <w:rPr>
          <w:color w:val="000000"/>
          <w:szCs w:val="24"/>
          <w:vertAlign w:val="superscript"/>
        </w:rPr>
        <w:t>a</w:t>
      </w:r>
      <w:r>
        <w:rPr>
          <w:color w:val="000000"/>
          <w:szCs w:val="24"/>
        </w:rPr>
        <w:t>, per le quali è stato fissato il termine del 25 febbraio 2017. Il termine generale per l'espressione del parere da parte della 7</w:t>
      </w:r>
      <w:r>
        <w:rPr>
          <w:color w:val="000000"/>
          <w:szCs w:val="24"/>
          <w:vertAlign w:val="superscript"/>
        </w:rPr>
        <w:t>a</w:t>
      </w:r>
      <w:r>
        <w:rPr>
          <w:color w:val="000000"/>
          <w:szCs w:val="24"/>
        </w:rPr>
        <w:t xml:space="preserve"> Commissione - previo scioglimento della riserva - è fissato invece al 17 marzo 2017.</w:t>
      </w:r>
    </w:p>
    <w:p w:rsidR="00296B1E" w:rsidRDefault="00296B1E" w:rsidP="00296B1E">
      <w:pPr>
        <w:autoSpaceDE w:val="0"/>
        <w:autoSpaceDN w:val="0"/>
        <w:adjustRightInd w:val="0"/>
        <w:ind w:firstLine="708"/>
        <w:jc w:val="both"/>
        <w:rPr>
          <w:color w:val="000000"/>
          <w:szCs w:val="24"/>
        </w:rPr>
      </w:pPr>
    </w:p>
    <w:p w:rsidR="00296B1E" w:rsidRDefault="00296B1E" w:rsidP="00296B1E">
      <w:pPr>
        <w:autoSpaceDE w:val="0"/>
        <w:autoSpaceDN w:val="0"/>
        <w:adjustRightInd w:val="0"/>
        <w:ind w:firstLine="708"/>
        <w:jc w:val="both"/>
        <w:rPr>
          <w:color w:val="000000"/>
          <w:szCs w:val="24"/>
        </w:rPr>
      </w:pPr>
      <w:r>
        <w:rPr>
          <w:color w:val="000000"/>
          <w:szCs w:val="24"/>
        </w:rPr>
        <w:t>Riferisce la relatrice Elena FERRARA (</w:t>
      </w:r>
      <w:r>
        <w:rPr>
          <w:i/>
          <w:iCs/>
          <w:color w:val="000000"/>
          <w:szCs w:val="24"/>
        </w:rPr>
        <w:t>PD</w:t>
      </w:r>
      <w:r>
        <w:rPr>
          <w:color w:val="000000"/>
          <w:szCs w:val="24"/>
        </w:rPr>
        <w:t xml:space="preserve">), la quale osserva anzitutto che il provvedimento in titolo è assai atteso e si innesta su un substrato normativo che ha mostrato alcune lacune. Esso enuncia il principio generale secondo cui l'inclusione scolastica riguarda tutti gli alunni e gli studenti, risponde ai differenti bisogni educativi e si realizza attraverso strategie educative e didattiche finalizzate allo sviluppo delle potenzialità di ciascuno. Il provvedimento individua in particolare i soggetti beneficiari delle proprie disposizioni negli alunni e negli studenti con disabilità certificata ai sensi di legge nonché le prestazioni per la loro inclusione scolastica effettuando una ricognizione dei compiti già assegnati, in base alla normativa vigente, a ciascun ente istituzionalmente preposto a garantire il diritto-dovere all'istruzione degli alunni e degli studenti con disabilità. Si qualifica quindi l'inclusione scolastica quale elemento portante dei processi di valutazione e di autovalutazione delle scuole, nell'ambito del Sistema nazionale di valutazione. </w:t>
      </w:r>
    </w:p>
    <w:p w:rsidR="00296B1E" w:rsidRDefault="00296B1E" w:rsidP="00296B1E">
      <w:pPr>
        <w:autoSpaceDE w:val="0"/>
        <w:autoSpaceDN w:val="0"/>
        <w:adjustRightInd w:val="0"/>
        <w:ind w:firstLine="708"/>
        <w:jc w:val="both"/>
        <w:rPr>
          <w:color w:val="000000"/>
          <w:szCs w:val="24"/>
        </w:rPr>
      </w:pPr>
      <w:r>
        <w:rPr>
          <w:color w:val="000000"/>
          <w:szCs w:val="24"/>
        </w:rPr>
        <w:t xml:space="preserve">Passando all'articolato, fa presente che gli articoli 1 e 2 individuano i principi e le finalità nonché i destinatari delle misure, ossia gli studenti con disabilità certificata in base alla legge. A tale riferimento si stabilisce che l'inclusione scolastica è attuata attraverso la definizione e la condivisione del Piano educativo individualizzato (PEI), che rappresenta una parte integrante del progetto individuale. </w:t>
      </w:r>
    </w:p>
    <w:p w:rsidR="00296B1E" w:rsidRDefault="00296B1E" w:rsidP="00296B1E">
      <w:pPr>
        <w:autoSpaceDE w:val="0"/>
        <w:autoSpaceDN w:val="0"/>
        <w:adjustRightInd w:val="0"/>
        <w:ind w:firstLine="708"/>
        <w:jc w:val="both"/>
        <w:rPr>
          <w:color w:val="000000"/>
          <w:szCs w:val="24"/>
        </w:rPr>
      </w:pPr>
      <w:r>
        <w:rPr>
          <w:color w:val="000000"/>
          <w:szCs w:val="24"/>
        </w:rPr>
        <w:t xml:space="preserve">Dà indi conto dell'articolo 3, relativo alla ripartizione di compiti tra lo Stato e gli enti locali per assicurare il diritto-dovere all'istruzione degli studenti con disabilità. In particolare, allo Stato competono: l'assegnazione dei docenti di sostegno e del personale ausiliario nella scuola statale; la costituzione delle sezioni e delle classi prime in modo da consentire non più di 22 alunni ove siano presenti studenti con disabilità; la definizione dell'organico del personale ATA; l'assegnazione alle scuole paritarie di un contributo economico </w:t>
      </w:r>
      <w:proofErr w:type="spellStart"/>
      <w:r>
        <w:rPr>
          <w:color w:val="000000"/>
          <w:szCs w:val="24"/>
        </w:rPr>
        <w:t>parametrato</w:t>
      </w:r>
      <w:proofErr w:type="spellEnd"/>
      <w:r>
        <w:rPr>
          <w:color w:val="000000"/>
          <w:szCs w:val="24"/>
        </w:rPr>
        <w:t xml:space="preserve"> al numero di alunni disabili. </w:t>
      </w:r>
    </w:p>
    <w:p w:rsidR="00296B1E" w:rsidRDefault="00296B1E" w:rsidP="00296B1E">
      <w:pPr>
        <w:autoSpaceDE w:val="0"/>
        <w:autoSpaceDN w:val="0"/>
        <w:adjustRightInd w:val="0"/>
        <w:ind w:firstLine="708"/>
        <w:jc w:val="both"/>
        <w:rPr>
          <w:color w:val="000000"/>
          <w:szCs w:val="24"/>
        </w:rPr>
      </w:pPr>
      <w:r>
        <w:rPr>
          <w:color w:val="000000"/>
          <w:szCs w:val="24"/>
        </w:rPr>
        <w:t xml:space="preserve">Riepiloga altresì le attribuzioni delle Regioni, le quali devono assicurare l'uniformità dei profili professionali del personale destinato all'assistenza, mentre agli enti locali spetta individuare concretamente il predetto personale, garantire i servizi per il trasporto e per l'inclusione scolastica, </w:t>
      </w:r>
      <w:proofErr w:type="spellStart"/>
      <w:r>
        <w:rPr>
          <w:color w:val="000000"/>
          <w:szCs w:val="24"/>
        </w:rPr>
        <w:t>nonchè</w:t>
      </w:r>
      <w:proofErr w:type="spellEnd"/>
      <w:r>
        <w:rPr>
          <w:color w:val="000000"/>
          <w:szCs w:val="24"/>
        </w:rPr>
        <w:t xml:space="preserve"> assicurare l'accessibilità e la fruibilità degli spazi. </w:t>
      </w:r>
    </w:p>
    <w:p w:rsidR="00296B1E" w:rsidRDefault="00296B1E" w:rsidP="00296B1E">
      <w:pPr>
        <w:autoSpaceDE w:val="0"/>
        <w:autoSpaceDN w:val="0"/>
        <w:adjustRightInd w:val="0"/>
        <w:ind w:firstLine="708"/>
        <w:jc w:val="both"/>
        <w:rPr>
          <w:color w:val="000000"/>
          <w:szCs w:val="24"/>
        </w:rPr>
      </w:pPr>
      <w:r>
        <w:rPr>
          <w:color w:val="000000"/>
          <w:szCs w:val="24"/>
        </w:rPr>
        <w:t xml:space="preserve">Illustra poi l'articolo 4, inerente la valutazione della qualità dell'inclusione scolastica per la quale sono elencati precisi criteri, nonché l'articolo 5 concernente la valutazione diagnostico-funzionale intesa quale nuovo strumento per definire la condizione degli alunni con disabilità. </w:t>
      </w:r>
      <w:r>
        <w:rPr>
          <w:color w:val="000000"/>
          <w:szCs w:val="24"/>
        </w:rPr>
        <w:lastRenderedPageBreak/>
        <w:t>Detto strumento sarà poi concretamente individuato attraverso un apposito decreto del Presidente del Consiglio dei ministri, fermo restando che l'Istituto nazionale della previdenza sociale (INPS) è tenuto a fissare linee guida per la definizione e la redazione della documentazione medico-specialistica.</w:t>
      </w:r>
    </w:p>
    <w:p w:rsidR="00296B1E" w:rsidRDefault="00296B1E" w:rsidP="00296B1E">
      <w:pPr>
        <w:autoSpaceDE w:val="0"/>
        <w:autoSpaceDN w:val="0"/>
        <w:adjustRightInd w:val="0"/>
        <w:ind w:firstLine="708"/>
        <w:jc w:val="both"/>
        <w:rPr>
          <w:color w:val="000000"/>
          <w:szCs w:val="24"/>
        </w:rPr>
      </w:pPr>
      <w:r>
        <w:rPr>
          <w:color w:val="000000"/>
          <w:szCs w:val="24"/>
        </w:rPr>
        <w:t>Dopo aver dato conto delle modifiche all'attuale assetto delle commissioni mediche, disposte dall'articolo 6, concorda con l'esigenza di integrarle con specialisti della riabilitazione e con operatori sociali. Fa presente poi che l'articolo 7 definisce la procedura per l'inclusione scolastica degli studenti disabili, articolata in diverse fasi, mentre l'articolo 8 istituisce il Gruppo per l'inclusione territoriale (GIT) sopprimendo tutti gli altri gruppi di lavoro ormai obsoleti.</w:t>
      </w:r>
    </w:p>
    <w:p w:rsidR="00296B1E" w:rsidRDefault="00296B1E" w:rsidP="00296B1E">
      <w:pPr>
        <w:autoSpaceDE w:val="0"/>
        <w:autoSpaceDN w:val="0"/>
        <w:adjustRightInd w:val="0"/>
        <w:ind w:firstLine="708"/>
        <w:jc w:val="both"/>
        <w:rPr>
          <w:color w:val="000000"/>
          <w:szCs w:val="24"/>
        </w:rPr>
      </w:pPr>
      <w:r>
        <w:rPr>
          <w:color w:val="000000"/>
          <w:szCs w:val="24"/>
        </w:rPr>
        <w:t xml:space="preserve">Accennando all'articolo 9 sul progetto individuale, fornisce poi maggiori dettagli sul Piano per l'inclusione, di cui all'articolo 10, che rappresenta il principale documento programmatico attuativo della scuola in materia di inclusione, nel quale confluisce il Piano educativo individualizzato. Dà altresì conto dell'articolo 12, che istituisce le sezioni del personale per il sostegno didattico e innova aumentando il tempo di permanenza sui posti per il sostegno, che passa da cinque a dieci anni. </w:t>
      </w:r>
    </w:p>
    <w:p w:rsidR="00296B1E" w:rsidRDefault="00296B1E" w:rsidP="00296B1E">
      <w:pPr>
        <w:autoSpaceDE w:val="0"/>
        <w:autoSpaceDN w:val="0"/>
        <w:adjustRightInd w:val="0"/>
        <w:ind w:firstLine="708"/>
        <w:jc w:val="both"/>
        <w:rPr>
          <w:color w:val="000000"/>
          <w:szCs w:val="24"/>
        </w:rPr>
      </w:pPr>
      <w:r>
        <w:rPr>
          <w:color w:val="000000"/>
          <w:szCs w:val="24"/>
        </w:rPr>
        <w:t xml:space="preserve">Sottolinea altresì la nuova disciplina per l'accesso alla carriera di docente per il sostegno nella scuola dell'infanzia e nella scuola primaria, per la quale è previsto il conseguimento di precisi crediti formativi universitari. Con riferimento alla scuola secondaria di primo e secondo grado vi è una disciplina specifica recata dall'articolo 14, mentre l'articolo 15 stabilisce la formazione specifica per ciascuna tipologia di personale della scuola. </w:t>
      </w:r>
    </w:p>
    <w:p w:rsidR="00296B1E" w:rsidRDefault="00296B1E" w:rsidP="00296B1E">
      <w:pPr>
        <w:autoSpaceDE w:val="0"/>
        <w:autoSpaceDN w:val="0"/>
        <w:adjustRightInd w:val="0"/>
        <w:ind w:firstLine="708"/>
        <w:jc w:val="both"/>
        <w:rPr>
          <w:color w:val="000000"/>
          <w:szCs w:val="24"/>
        </w:rPr>
      </w:pPr>
      <w:r>
        <w:rPr>
          <w:color w:val="000000"/>
          <w:szCs w:val="24"/>
        </w:rPr>
        <w:t xml:space="preserve">Avviandosi alla conclusione, illustra i contenuti degli articoli da 16 a 21, enfatizzando il valore della continuità didattica e la costituzione dell'Osservatorio permanente per l'inclusione scolastica. </w:t>
      </w:r>
    </w:p>
    <w:p w:rsidR="00296B1E" w:rsidRDefault="00296B1E" w:rsidP="00296B1E">
      <w:pPr>
        <w:autoSpaceDE w:val="0"/>
        <w:autoSpaceDN w:val="0"/>
        <w:adjustRightInd w:val="0"/>
        <w:ind w:firstLine="708"/>
        <w:jc w:val="both"/>
        <w:rPr>
          <w:color w:val="000000"/>
          <w:szCs w:val="24"/>
        </w:rPr>
      </w:pPr>
    </w:p>
    <w:p w:rsidR="00296B1E" w:rsidRDefault="00296B1E" w:rsidP="00296B1E">
      <w:pPr>
        <w:autoSpaceDE w:val="0"/>
        <w:autoSpaceDN w:val="0"/>
        <w:adjustRightInd w:val="0"/>
        <w:ind w:firstLine="708"/>
        <w:jc w:val="both"/>
        <w:rPr>
          <w:color w:val="000000"/>
          <w:szCs w:val="24"/>
        </w:rPr>
      </w:pPr>
      <w:r>
        <w:rPr>
          <w:color w:val="000000"/>
          <w:szCs w:val="24"/>
        </w:rPr>
        <w:t>Il PRESIDENTE invita la relatrice ad elaborare un eventuale elenco di audizioni, sentiti tutti i Capigruppo, da poter sottoporre alle decisioni dell'Ufficio di Presidenza integrato dai rappresentanti dei Gruppi.</w:t>
      </w:r>
    </w:p>
    <w:p w:rsidR="00296B1E" w:rsidRDefault="00296B1E" w:rsidP="00296B1E">
      <w:pPr>
        <w:autoSpaceDE w:val="0"/>
        <w:autoSpaceDN w:val="0"/>
        <w:adjustRightInd w:val="0"/>
        <w:ind w:firstLine="708"/>
        <w:jc w:val="both"/>
        <w:rPr>
          <w:color w:val="000000"/>
          <w:szCs w:val="24"/>
        </w:rPr>
      </w:pPr>
    </w:p>
    <w:p w:rsidR="00355063" w:rsidRDefault="00296B1E" w:rsidP="00296B1E">
      <w:pPr>
        <w:autoSpaceDE w:val="0"/>
        <w:autoSpaceDN w:val="0"/>
        <w:adjustRightInd w:val="0"/>
        <w:ind w:firstLine="708"/>
        <w:jc w:val="both"/>
        <w:rPr>
          <w:color w:val="000000"/>
          <w:szCs w:val="24"/>
        </w:rPr>
      </w:pPr>
      <w:r>
        <w:rPr>
          <w:color w:val="000000"/>
          <w:szCs w:val="24"/>
        </w:rPr>
        <w:t>Il seguito dell'esame è rinviato.</w:t>
      </w:r>
    </w:p>
    <w:p w:rsidR="00355063" w:rsidRDefault="00355063">
      <w:pPr>
        <w:rPr>
          <w:color w:val="000000"/>
          <w:szCs w:val="24"/>
        </w:rPr>
      </w:pPr>
      <w:r>
        <w:rPr>
          <w:color w:val="000000"/>
          <w:szCs w:val="24"/>
        </w:rPr>
        <w:br w:type="page"/>
      </w:r>
    </w:p>
    <w:p w:rsidR="00707872" w:rsidRPr="00707872" w:rsidRDefault="00707872" w:rsidP="00707872">
      <w:pPr>
        <w:pStyle w:val="Titolo1"/>
        <w:rPr>
          <w:szCs w:val="24"/>
        </w:rPr>
      </w:pPr>
      <w:bookmarkStart w:id="1" w:name="_Toc473705516"/>
      <w:bookmarkStart w:id="2" w:name="_Toc473791651"/>
      <w:r w:rsidRPr="00707872">
        <w:rPr>
          <w:szCs w:val="24"/>
        </w:rPr>
        <w:lastRenderedPageBreak/>
        <w:t>31 GENNAIO 2017 (Sulle audizioni e sulla pubblicazione di documentazioni)</w:t>
      </w:r>
      <w:bookmarkEnd w:id="1"/>
      <w:bookmarkEnd w:id="2"/>
    </w:p>
    <w:p w:rsidR="00707872" w:rsidRDefault="00707872" w:rsidP="00707872">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707872" w:rsidRDefault="00707872" w:rsidP="00707872">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707872" w:rsidRDefault="00707872" w:rsidP="00707872">
      <w:pPr>
        <w:autoSpaceDE w:val="0"/>
        <w:autoSpaceDN w:val="0"/>
        <w:adjustRightInd w:val="0"/>
        <w:jc w:val="center"/>
        <w:rPr>
          <w:color w:val="000000"/>
          <w:szCs w:val="24"/>
        </w:rPr>
      </w:pPr>
      <w:r>
        <w:rPr>
          <w:color w:val="000000"/>
          <w:szCs w:val="24"/>
        </w:rPr>
        <w:t xml:space="preserve">MARCUCCI  </w:t>
      </w:r>
    </w:p>
    <w:p w:rsidR="00707872" w:rsidRDefault="00707872" w:rsidP="00707872">
      <w:pPr>
        <w:autoSpaceDE w:val="0"/>
        <w:autoSpaceDN w:val="0"/>
        <w:adjustRightInd w:val="0"/>
        <w:jc w:val="center"/>
        <w:rPr>
          <w:color w:val="000000"/>
          <w:szCs w:val="24"/>
        </w:rPr>
      </w:pPr>
      <w:r>
        <w:rPr>
          <w:color w:val="000000"/>
          <w:szCs w:val="24"/>
        </w:rPr>
        <w:t xml:space="preserve"> </w:t>
      </w:r>
    </w:p>
    <w:p w:rsidR="00707872" w:rsidRDefault="00707872" w:rsidP="00707872">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707872" w:rsidRDefault="00707872" w:rsidP="00707872">
      <w:pPr>
        <w:autoSpaceDE w:val="0"/>
        <w:autoSpaceDN w:val="0"/>
        <w:adjustRightInd w:val="0"/>
        <w:jc w:val="both"/>
        <w:rPr>
          <w:color w:val="000000"/>
          <w:szCs w:val="24"/>
        </w:rPr>
      </w:pPr>
      <w:r>
        <w:rPr>
          <w:color w:val="000000"/>
          <w:szCs w:val="24"/>
        </w:rPr>
        <w:t xml:space="preserve">                                                                                                                                                                                                     </w:t>
      </w:r>
    </w:p>
    <w:p w:rsidR="00707872" w:rsidRDefault="00707872" w:rsidP="00707872">
      <w:pPr>
        <w:autoSpaceDE w:val="0"/>
        <w:autoSpaceDN w:val="0"/>
        <w:adjustRightInd w:val="0"/>
        <w:jc w:val="both"/>
        <w:rPr>
          <w:color w:val="000000"/>
          <w:szCs w:val="24"/>
        </w:rPr>
      </w:pPr>
    </w:p>
    <w:p w:rsidR="00707872" w:rsidRDefault="00707872" w:rsidP="00707872">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707872" w:rsidRDefault="00707872" w:rsidP="00707872">
      <w:pPr>
        <w:autoSpaceDE w:val="0"/>
        <w:autoSpaceDN w:val="0"/>
        <w:adjustRightInd w:val="0"/>
        <w:jc w:val="both"/>
        <w:rPr>
          <w:color w:val="000000"/>
          <w:szCs w:val="24"/>
        </w:rPr>
      </w:pPr>
    </w:p>
    <w:p w:rsidR="00707872" w:rsidRDefault="00707872" w:rsidP="00707872">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707872" w:rsidRDefault="00707872" w:rsidP="00707872">
      <w:pPr>
        <w:autoSpaceDE w:val="0"/>
        <w:autoSpaceDN w:val="0"/>
        <w:adjustRightInd w:val="0"/>
        <w:ind w:firstLine="708"/>
        <w:jc w:val="both"/>
        <w:rPr>
          <w:color w:val="000000"/>
          <w:szCs w:val="24"/>
        </w:rPr>
      </w:pPr>
    </w:p>
    <w:p w:rsidR="00707872" w:rsidRDefault="00707872" w:rsidP="00707872">
      <w:pPr>
        <w:autoSpaceDE w:val="0"/>
        <w:autoSpaceDN w:val="0"/>
        <w:adjustRightInd w:val="0"/>
        <w:ind w:firstLine="708"/>
        <w:jc w:val="both"/>
        <w:rPr>
          <w:color w:val="000000"/>
          <w:szCs w:val="24"/>
        </w:rPr>
      </w:pPr>
      <w:r>
        <w:rPr>
          <w:color w:val="000000"/>
          <w:szCs w:val="24"/>
        </w:rPr>
        <w:t>Prende atto la Commissione.</w:t>
      </w:r>
    </w:p>
    <w:p w:rsidR="00707872" w:rsidRDefault="00707872" w:rsidP="00707872">
      <w:pPr>
        <w:autoSpaceDE w:val="0"/>
        <w:autoSpaceDN w:val="0"/>
        <w:adjustRightInd w:val="0"/>
        <w:ind w:firstLine="708"/>
        <w:jc w:val="both"/>
        <w:rPr>
          <w:color w:val="000000"/>
          <w:szCs w:val="24"/>
        </w:rPr>
      </w:pPr>
    </w:p>
    <w:p w:rsidR="00707872" w:rsidRDefault="00707872" w:rsidP="00707872">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707872" w:rsidRDefault="00707872" w:rsidP="00707872">
      <w:pPr>
        <w:autoSpaceDE w:val="0"/>
        <w:autoSpaceDN w:val="0"/>
        <w:adjustRightInd w:val="0"/>
        <w:ind w:firstLine="708"/>
        <w:jc w:val="both"/>
        <w:rPr>
          <w:color w:val="000000"/>
          <w:szCs w:val="24"/>
        </w:rPr>
      </w:pPr>
    </w:p>
    <w:p w:rsidR="00707872" w:rsidRDefault="00707872" w:rsidP="00707872">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707872" w:rsidRDefault="00707872" w:rsidP="00707872">
      <w:pPr>
        <w:autoSpaceDE w:val="0"/>
        <w:autoSpaceDN w:val="0"/>
        <w:adjustRightInd w:val="0"/>
        <w:jc w:val="both"/>
        <w:rPr>
          <w:color w:val="000000"/>
          <w:szCs w:val="24"/>
        </w:rPr>
      </w:pPr>
    </w:p>
    <w:p w:rsidR="00707872" w:rsidRDefault="00707872" w:rsidP="00707872">
      <w:pPr>
        <w:autoSpaceDE w:val="0"/>
        <w:autoSpaceDN w:val="0"/>
        <w:adjustRightInd w:val="0"/>
        <w:ind w:firstLine="708"/>
        <w:jc w:val="both"/>
        <w:rPr>
          <w:color w:val="000000"/>
          <w:szCs w:val="24"/>
        </w:rPr>
      </w:pPr>
      <w:r>
        <w:rPr>
          <w:color w:val="000000"/>
          <w:szCs w:val="24"/>
        </w:rPr>
        <w:t>Prende atto la Commissione.</w:t>
      </w:r>
    </w:p>
    <w:p w:rsidR="00355063" w:rsidRDefault="00355063" w:rsidP="00296B1E">
      <w:pPr>
        <w:autoSpaceDE w:val="0"/>
        <w:autoSpaceDN w:val="0"/>
        <w:adjustRightInd w:val="0"/>
        <w:ind w:firstLine="708"/>
        <w:jc w:val="both"/>
        <w:rPr>
          <w:color w:val="000000"/>
          <w:szCs w:val="24"/>
        </w:rPr>
      </w:pPr>
    </w:p>
    <w:p w:rsidR="001F5AB8" w:rsidRPr="0029721C" w:rsidRDefault="001F5AB8" w:rsidP="001F5AB8">
      <w:pPr>
        <w:pStyle w:val="Titolo1"/>
        <w:rPr>
          <w:szCs w:val="24"/>
        </w:rPr>
      </w:pPr>
      <w:bookmarkStart w:id="3" w:name="_Toc473791611"/>
      <w:bookmarkStart w:id="4" w:name="_Toc473791652"/>
      <w:r w:rsidRPr="0029721C">
        <w:rPr>
          <w:szCs w:val="24"/>
        </w:rPr>
        <w:t xml:space="preserve">1° FEBBRAIO 2017 </w:t>
      </w:r>
      <w:r w:rsidRPr="0029721C">
        <w:t>(Sulla pubblicazione di documentazioni)</w:t>
      </w:r>
      <w:bookmarkEnd w:id="3"/>
      <w:bookmarkEnd w:id="4"/>
    </w:p>
    <w:p w:rsidR="001F5AB8" w:rsidRDefault="001F5AB8" w:rsidP="001F5AB8">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1F5AB8" w:rsidRDefault="001F5AB8" w:rsidP="001F5AB8">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1F5AB8" w:rsidRDefault="001F5AB8" w:rsidP="001F5AB8">
      <w:pPr>
        <w:autoSpaceDE w:val="0"/>
        <w:autoSpaceDN w:val="0"/>
        <w:adjustRightInd w:val="0"/>
        <w:jc w:val="center"/>
        <w:rPr>
          <w:color w:val="000000"/>
          <w:szCs w:val="24"/>
        </w:rPr>
      </w:pPr>
      <w:r>
        <w:rPr>
          <w:color w:val="000000"/>
          <w:szCs w:val="24"/>
        </w:rPr>
        <w:t xml:space="preserve">MARCUCCI  </w:t>
      </w:r>
    </w:p>
    <w:p w:rsidR="001F5AB8" w:rsidRDefault="001F5AB8" w:rsidP="001F5AB8">
      <w:pPr>
        <w:autoSpaceDE w:val="0"/>
        <w:autoSpaceDN w:val="0"/>
        <w:adjustRightInd w:val="0"/>
        <w:jc w:val="center"/>
        <w:rPr>
          <w:color w:val="000000"/>
          <w:szCs w:val="24"/>
        </w:rPr>
      </w:pPr>
      <w:r>
        <w:rPr>
          <w:color w:val="000000"/>
          <w:szCs w:val="24"/>
        </w:rPr>
        <w:t xml:space="preserve"> </w:t>
      </w:r>
    </w:p>
    <w:p w:rsidR="001F5AB8" w:rsidRDefault="001F5AB8" w:rsidP="001F5AB8">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1F5AB8" w:rsidRDefault="001F5AB8" w:rsidP="001F5AB8">
      <w:pPr>
        <w:autoSpaceDE w:val="0"/>
        <w:autoSpaceDN w:val="0"/>
        <w:adjustRightInd w:val="0"/>
        <w:jc w:val="both"/>
        <w:rPr>
          <w:color w:val="000000"/>
          <w:szCs w:val="24"/>
        </w:rPr>
      </w:pPr>
      <w:r>
        <w:rPr>
          <w:color w:val="000000"/>
          <w:szCs w:val="24"/>
        </w:rPr>
        <w:tab/>
      </w:r>
    </w:p>
    <w:p w:rsidR="001F5AB8" w:rsidRDefault="001F5AB8" w:rsidP="001F5AB8">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1F5AB8" w:rsidRDefault="001F5AB8" w:rsidP="001F5AB8">
      <w:pPr>
        <w:autoSpaceDE w:val="0"/>
        <w:autoSpaceDN w:val="0"/>
        <w:adjustRightInd w:val="0"/>
        <w:jc w:val="both"/>
        <w:rPr>
          <w:color w:val="000000"/>
          <w:szCs w:val="24"/>
        </w:rPr>
      </w:pPr>
    </w:p>
    <w:p w:rsidR="001F5AB8" w:rsidRDefault="001F5AB8" w:rsidP="001F5AB8">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1F5AB8" w:rsidRDefault="001F5AB8" w:rsidP="001F5AB8">
      <w:pPr>
        <w:autoSpaceDE w:val="0"/>
        <w:autoSpaceDN w:val="0"/>
        <w:adjustRightInd w:val="0"/>
        <w:ind w:firstLine="708"/>
        <w:jc w:val="both"/>
        <w:rPr>
          <w:color w:val="000000"/>
          <w:szCs w:val="24"/>
        </w:rPr>
      </w:pPr>
    </w:p>
    <w:p w:rsidR="001F5AB8" w:rsidRDefault="001F5AB8" w:rsidP="001F5AB8">
      <w:pPr>
        <w:autoSpaceDE w:val="0"/>
        <w:autoSpaceDN w:val="0"/>
        <w:adjustRightInd w:val="0"/>
        <w:spacing w:line="360" w:lineRule="auto"/>
        <w:ind w:firstLine="708"/>
        <w:jc w:val="both"/>
        <w:rPr>
          <w:color w:val="000000"/>
          <w:szCs w:val="24"/>
        </w:rPr>
      </w:pPr>
      <w:r>
        <w:rPr>
          <w:color w:val="000000"/>
          <w:szCs w:val="24"/>
        </w:rPr>
        <w:t>Prende atto la Commissione.</w:t>
      </w:r>
    </w:p>
    <w:p w:rsidR="00355063" w:rsidRDefault="00355063" w:rsidP="00296B1E">
      <w:pPr>
        <w:autoSpaceDE w:val="0"/>
        <w:autoSpaceDN w:val="0"/>
        <w:adjustRightInd w:val="0"/>
        <w:ind w:firstLine="708"/>
        <w:jc w:val="both"/>
        <w:rPr>
          <w:color w:val="000000"/>
          <w:szCs w:val="24"/>
        </w:rPr>
      </w:pPr>
    </w:p>
    <w:p w:rsidR="00355063" w:rsidRDefault="00355063" w:rsidP="00296B1E">
      <w:pPr>
        <w:autoSpaceDE w:val="0"/>
        <w:autoSpaceDN w:val="0"/>
        <w:adjustRightInd w:val="0"/>
        <w:ind w:firstLine="708"/>
        <w:jc w:val="both"/>
        <w:rPr>
          <w:color w:val="000000"/>
          <w:szCs w:val="24"/>
        </w:rPr>
      </w:pPr>
    </w:p>
    <w:p w:rsidR="00355063" w:rsidRDefault="00355063" w:rsidP="00296B1E">
      <w:pPr>
        <w:autoSpaceDE w:val="0"/>
        <w:autoSpaceDN w:val="0"/>
        <w:adjustRightInd w:val="0"/>
        <w:ind w:firstLine="708"/>
        <w:jc w:val="both"/>
        <w:rPr>
          <w:color w:val="000000"/>
          <w:szCs w:val="24"/>
        </w:rPr>
      </w:pPr>
    </w:p>
    <w:p w:rsidR="00355063" w:rsidRDefault="00355063"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707872" w:rsidRDefault="00707872" w:rsidP="00296B1E">
      <w:pPr>
        <w:autoSpaceDE w:val="0"/>
        <w:autoSpaceDN w:val="0"/>
        <w:adjustRightInd w:val="0"/>
        <w:ind w:firstLine="708"/>
        <w:jc w:val="both"/>
        <w:rPr>
          <w:color w:val="000000"/>
          <w:szCs w:val="24"/>
        </w:rPr>
      </w:pPr>
    </w:p>
    <w:p w:rsidR="00355063" w:rsidRDefault="00433406" w:rsidP="00296B1E">
      <w:pPr>
        <w:autoSpaceDE w:val="0"/>
        <w:autoSpaceDN w:val="0"/>
        <w:adjustRightInd w:val="0"/>
        <w:ind w:firstLine="708"/>
        <w:jc w:val="both"/>
        <w:rPr>
          <w:color w:val="000000"/>
          <w:szCs w:val="24"/>
        </w:rPr>
      </w:pPr>
      <w:r>
        <w:rPr>
          <w:noProof/>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63.3pt;margin-top:175.1pt;width:343.2pt;height:110.75pt;z-index:251658240;mso-width-relative:margin;mso-height-relative:margin">
            <v:textbox style="mso-next-textbox:#_x0000_s1026">
              <w:txbxContent>
                <w:p w:rsidR="00355063" w:rsidRPr="00B019C5" w:rsidRDefault="00355063" w:rsidP="00355063">
                  <w:pPr>
                    <w:shd w:val="clear" w:color="auto" w:fill="D9D9D9" w:themeFill="background1" w:themeFillShade="D9"/>
                    <w:jc w:val="center"/>
                    <w:rPr>
                      <w:b/>
                      <w:caps/>
                      <w:sz w:val="32"/>
                      <w:szCs w:val="32"/>
                    </w:rPr>
                  </w:pPr>
                </w:p>
                <w:p w:rsidR="00355063" w:rsidRPr="008F6340" w:rsidRDefault="00355063" w:rsidP="00355063">
                  <w:pPr>
                    <w:shd w:val="clear" w:color="auto" w:fill="D9D9D9" w:themeFill="background1" w:themeFillShade="D9"/>
                    <w:jc w:val="center"/>
                    <w:rPr>
                      <w:b/>
                      <w:caps/>
                      <w:sz w:val="72"/>
                      <w:szCs w:val="72"/>
                    </w:rPr>
                  </w:pPr>
                  <w:r w:rsidRPr="008F6340">
                    <w:rPr>
                      <w:b/>
                      <w:caps/>
                      <w:sz w:val="72"/>
                      <w:szCs w:val="72"/>
                    </w:rPr>
                    <w:t>OSSERVAZIONI</w:t>
                  </w:r>
                </w:p>
              </w:txbxContent>
            </v:textbox>
          </v:shape>
        </w:pict>
      </w:r>
    </w:p>
    <w:sectPr w:rsidR="00355063"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433406"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433406"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1F5AB8">
      <w:rPr>
        <w:rStyle w:val="Numeropagina"/>
        <w:noProof/>
      </w:rPr>
      <w:t>5</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1F5AB8" w:rsidRPr="001F5AB8">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433406"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D1811"/>
    <w:rsid w:val="000D6C97"/>
    <w:rsid w:val="000F34ED"/>
    <w:rsid w:val="00104754"/>
    <w:rsid w:val="00112E24"/>
    <w:rsid w:val="00114D29"/>
    <w:rsid w:val="001435BE"/>
    <w:rsid w:val="00164FB1"/>
    <w:rsid w:val="00181E5B"/>
    <w:rsid w:val="00184402"/>
    <w:rsid w:val="0018656E"/>
    <w:rsid w:val="001959B0"/>
    <w:rsid w:val="001E7BF0"/>
    <w:rsid w:val="001F5AB8"/>
    <w:rsid w:val="00235730"/>
    <w:rsid w:val="00263254"/>
    <w:rsid w:val="00280E7A"/>
    <w:rsid w:val="002814A4"/>
    <w:rsid w:val="00296B1E"/>
    <w:rsid w:val="002A4487"/>
    <w:rsid w:val="002F5A07"/>
    <w:rsid w:val="00306EAA"/>
    <w:rsid w:val="00313C0E"/>
    <w:rsid w:val="00320762"/>
    <w:rsid w:val="003216DE"/>
    <w:rsid w:val="00326E19"/>
    <w:rsid w:val="003328D4"/>
    <w:rsid w:val="00345EB4"/>
    <w:rsid w:val="00355063"/>
    <w:rsid w:val="003C281B"/>
    <w:rsid w:val="003E4F7D"/>
    <w:rsid w:val="004039B5"/>
    <w:rsid w:val="0040609F"/>
    <w:rsid w:val="00407BD8"/>
    <w:rsid w:val="00413A68"/>
    <w:rsid w:val="00423F5A"/>
    <w:rsid w:val="00433406"/>
    <w:rsid w:val="00465223"/>
    <w:rsid w:val="00485C55"/>
    <w:rsid w:val="004877A2"/>
    <w:rsid w:val="004A6791"/>
    <w:rsid w:val="004C036C"/>
    <w:rsid w:val="004C2993"/>
    <w:rsid w:val="004C4311"/>
    <w:rsid w:val="004D2FF3"/>
    <w:rsid w:val="004D4A11"/>
    <w:rsid w:val="004F4AAB"/>
    <w:rsid w:val="004F68F7"/>
    <w:rsid w:val="005A46CF"/>
    <w:rsid w:val="005B062A"/>
    <w:rsid w:val="005B39B2"/>
    <w:rsid w:val="005D392B"/>
    <w:rsid w:val="005D6AC1"/>
    <w:rsid w:val="006116A6"/>
    <w:rsid w:val="00615A10"/>
    <w:rsid w:val="00626F62"/>
    <w:rsid w:val="0063205B"/>
    <w:rsid w:val="00644CE0"/>
    <w:rsid w:val="00652904"/>
    <w:rsid w:val="0065603E"/>
    <w:rsid w:val="00681EE4"/>
    <w:rsid w:val="006907E2"/>
    <w:rsid w:val="006B5400"/>
    <w:rsid w:val="006E0B54"/>
    <w:rsid w:val="006E6D4C"/>
    <w:rsid w:val="006F6776"/>
    <w:rsid w:val="007068CC"/>
    <w:rsid w:val="00707872"/>
    <w:rsid w:val="00724DD5"/>
    <w:rsid w:val="00731C37"/>
    <w:rsid w:val="007438A1"/>
    <w:rsid w:val="00744B49"/>
    <w:rsid w:val="00757783"/>
    <w:rsid w:val="0079117F"/>
    <w:rsid w:val="007A4B5A"/>
    <w:rsid w:val="007F4031"/>
    <w:rsid w:val="00813B07"/>
    <w:rsid w:val="00820B94"/>
    <w:rsid w:val="00822A33"/>
    <w:rsid w:val="00826951"/>
    <w:rsid w:val="00854E3F"/>
    <w:rsid w:val="00875E6D"/>
    <w:rsid w:val="00876BBE"/>
    <w:rsid w:val="00882341"/>
    <w:rsid w:val="0089242C"/>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6763C"/>
    <w:rsid w:val="00972C44"/>
    <w:rsid w:val="009738D1"/>
    <w:rsid w:val="00993A96"/>
    <w:rsid w:val="009A6F9F"/>
    <w:rsid w:val="009B39A0"/>
    <w:rsid w:val="009C7729"/>
    <w:rsid w:val="009E20C2"/>
    <w:rsid w:val="00A02B88"/>
    <w:rsid w:val="00A04991"/>
    <w:rsid w:val="00A068AC"/>
    <w:rsid w:val="00A2324F"/>
    <w:rsid w:val="00A466D5"/>
    <w:rsid w:val="00A52E67"/>
    <w:rsid w:val="00A6218E"/>
    <w:rsid w:val="00A770F2"/>
    <w:rsid w:val="00A86B16"/>
    <w:rsid w:val="00A91E89"/>
    <w:rsid w:val="00A972E4"/>
    <w:rsid w:val="00AA1392"/>
    <w:rsid w:val="00AA7D25"/>
    <w:rsid w:val="00B24B6E"/>
    <w:rsid w:val="00B307F8"/>
    <w:rsid w:val="00B37561"/>
    <w:rsid w:val="00B554BB"/>
    <w:rsid w:val="00B55573"/>
    <w:rsid w:val="00B64C3A"/>
    <w:rsid w:val="00B84E18"/>
    <w:rsid w:val="00B9416B"/>
    <w:rsid w:val="00BA24FB"/>
    <w:rsid w:val="00BA73CF"/>
    <w:rsid w:val="00BC0F80"/>
    <w:rsid w:val="00BC74AD"/>
    <w:rsid w:val="00BE3B85"/>
    <w:rsid w:val="00BE40F5"/>
    <w:rsid w:val="00BF58CE"/>
    <w:rsid w:val="00C001B0"/>
    <w:rsid w:val="00C20D89"/>
    <w:rsid w:val="00C21DEF"/>
    <w:rsid w:val="00C442A6"/>
    <w:rsid w:val="00C67534"/>
    <w:rsid w:val="00C751E5"/>
    <w:rsid w:val="00CA2525"/>
    <w:rsid w:val="00CB6B74"/>
    <w:rsid w:val="00CC6960"/>
    <w:rsid w:val="00CD024D"/>
    <w:rsid w:val="00CD63F2"/>
    <w:rsid w:val="00CF024C"/>
    <w:rsid w:val="00CF2EB5"/>
    <w:rsid w:val="00D0317C"/>
    <w:rsid w:val="00D1467C"/>
    <w:rsid w:val="00D31610"/>
    <w:rsid w:val="00D3212F"/>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94A0C"/>
    <w:rsid w:val="00EA1495"/>
    <w:rsid w:val="00EC626E"/>
    <w:rsid w:val="00ED2530"/>
    <w:rsid w:val="00ED6811"/>
    <w:rsid w:val="00EE4E9B"/>
    <w:rsid w:val="00F0017F"/>
    <w:rsid w:val="00F568D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707872"/>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707872"/>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8232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9391</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6</cp:revision>
  <cp:lastPrinted>2010-02-23T13:37:00Z</cp:lastPrinted>
  <dcterms:created xsi:type="dcterms:W3CDTF">2017-01-25T08:12:00Z</dcterms:created>
  <dcterms:modified xsi:type="dcterms:W3CDTF">2017-02-02T08:45:00Z</dcterms:modified>
</cp:coreProperties>
</file>